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19C" w:rsidRDefault="00FB219C">
      <w:pPr>
        <w:jc w:val="center"/>
      </w:pPr>
      <w:r>
        <w:rPr>
          <w:b/>
          <w:bCs/>
        </w:rPr>
        <w:t>Ενημέρωση για τη λειτουργία της Πλατφόρμας MyData της ΑΑΔΕ και την Ηλεκτρονική Τιμολόγηση</w:t>
      </w:r>
    </w:p>
    <w:p w:rsidR="00FB219C" w:rsidRDefault="00FB219C"/>
    <w:p w:rsidR="00FB219C" w:rsidRDefault="00FB219C"/>
    <w:p w:rsidR="00FB219C" w:rsidRDefault="00FB219C">
      <w:r>
        <w:t>Την Πέμπτη 1η Οκτωβρίου 2020 τίθεται σε λειτουργία η εφαρμογή MyData της ΑΑΔΕ, η οποία σε συνδυασμό με την ηλεκτρονική τιμολόγηση αποσκοπεί στην αναλυτική και άμεση διασταύρωση των συναλλαγών των επιχειρήσεων. Οι λεπτομέρειες εφαρμογής ρυθμίζονται με την Απόφαση Α 1138/2020.</w:t>
      </w:r>
    </w:p>
    <w:p w:rsidR="00FB219C" w:rsidRDefault="00FB219C"/>
    <w:p w:rsidR="00FB219C" w:rsidRDefault="00FB219C">
      <w:r>
        <w:rPr>
          <w:b/>
          <w:bCs/>
        </w:rPr>
        <w:t xml:space="preserve">1. Η «Πλατφόρμα myDATA» </w:t>
      </w:r>
    </w:p>
    <w:p w:rsidR="00FB219C" w:rsidRDefault="00FB219C"/>
    <w:p w:rsidR="00FB219C" w:rsidRDefault="00FB219C">
      <w:r>
        <w:t xml:space="preserve">Η «Πλατφόρμα myDATA» είναι τα ηλεκτρονικά βιβλία της ΑΑΔΕ, τα οποία αντικαθιστούν τις συγκεντρωτικές καταστάσεις πελατών-προμηθευτών (ΜΥΦ). Ειδικότερα, η «Πλατφόρμα myDATA είναι η ψηφιακή πλατφόρμα υποδοχής των δεδομένων που διαβιβάζονται στην Α.Α.Δ.Ε., η οποία είναι προσβάσιμη μέσω του διαδικτυακού τόπου της Α.Α.Δ.Ε. Σε αυτήν περιλαμβάνεται αναλυτικά και συνοπτικά το σύνολο των συναλλαγών εσόδων / εξόδων των οντοτήτων που τηρούν Λογιστικά Αρχεία, σύμφωνα με τα Ελληνικά Λογιστικά Πρότυπα και στην οποία απεικονίζεται το λογιστικό και φορολογικό αποτέλεσμά τους. </w:t>
      </w:r>
    </w:p>
    <w:p w:rsidR="00FB219C" w:rsidRDefault="00FB219C"/>
    <w:p w:rsidR="00FB219C" w:rsidRDefault="00FB219C">
      <w:r>
        <w:t xml:space="preserve">Επομένως η υποχρέωση διαβίβασης των λογιστικών αρχείων στην Πλατφόρμα myDATA καταλαμβάνει όλους τους δικηγόρους και τις δικηγορικές εταιρείες. </w:t>
      </w:r>
    </w:p>
    <w:p w:rsidR="00FB219C" w:rsidRDefault="00FB219C"/>
    <w:p w:rsidR="00FB219C" w:rsidRDefault="00FB219C">
      <w:r>
        <w:rPr>
          <w:b/>
          <w:bCs/>
        </w:rPr>
        <w:t xml:space="preserve">2. Διαβιβαζόμενα δεδομένα </w:t>
      </w:r>
    </w:p>
    <w:p w:rsidR="00FB219C" w:rsidRDefault="00FB219C">
      <w:r>
        <w:br/>
        <w:t>Τα στοιχεία που διαβιβάζονται υποχρεωτικά ηλεκτρονικά στην Α.Α.Δ.Ε. είναι τα ακόλουθα:</w:t>
      </w:r>
    </w:p>
    <w:p w:rsidR="00FB219C" w:rsidRDefault="00FB219C"/>
    <w:p w:rsidR="00FB219C" w:rsidRDefault="00FB219C">
      <w:r>
        <w:t>α) Δεδομένα των λογιστικών στοιχείων που εκδίδονται για την τεκμηρίωση των συναλλαγών (τιμολόγια και αποδείξεις λιανικής πώλησης ή αποδείξεις παροχής υπηρεσιών),</w:t>
      </w:r>
    </w:p>
    <w:p w:rsidR="00FB219C" w:rsidRDefault="00FB219C">
      <w:r>
        <w:br/>
        <w:t>β) Δεδομένα των λογιστικών στοιχείων που εκδίδονται κατ’ εφαρμογή ειδικών φορολογικών διατάξεων, όπως απόδειξη είσπραξης φόρου διαμονής, καθώς και τα δεδομένα των παραστατικών που εκδίδονται για την τεκμηρίωση της είσπραξης/πληρωμής ενοικίου,</w:t>
      </w:r>
    </w:p>
    <w:p w:rsidR="00FB219C" w:rsidRDefault="00FB219C">
      <w:r>
        <w:br/>
        <w:t>γ) Τα δεδομένα των λογιστικών εγγραφών που διαμορφώνουν τη λογιστική και φορολογική βάση για την εξαγωγή του λογιστικού και φορολογικού αποτελέσματος κάθε φορολογικού έτους.</w:t>
      </w:r>
    </w:p>
    <w:p w:rsidR="00FB219C" w:rsidRDefault="00FB219C"/>
    <w:p w:rsidR="00FB219C" w:rsidRDefault="00FB219C">
      <w:r>
        <w:t>Κατ’ εξαίρεση, τα οριζόμενα δεδομένα διαβιβάζονται από τον λήπτη των αγαθών ή των υπηρεσιών (ημεδαπή οντότητα) στις εξής περιπτώσεις:</w:t>
      </w:r>
    </w:p>
    <w:p w:rsidR="00FB219C" w:rsidRDefault="00FB219C">
      <w:r>
        <w:br/>
        <w:t>α) Συναλλαγών με μη υπόχρεη οντότητα της αλλοδαπής, όπως ενδοκοινοτικές αποκτήσεις, εισαγωγές από τρίτες χώρες και λήψεις υπηρεσιών (ενδοκοινοτικές, τρίτων χωρών)</w:t>
      </w:r>
    </w:p>
    <w:p w:rsidR="00FB219C" w:rsidRDefault="00FB219C">
      <w:r>
        <w:br/>
        <w:t>β) Λήψης παραστατικών λιανικής από την ημεδαπή ή την αλλοδαπή, όπως κοινόχρηστα, συνδρομές, λιανικές συναλλαγές αλλοδαπής,</w:t>
      </w:r>
    </w:p>
    <w:p w:rsidR="00FB219C" w:rsidRDefault="00FB219C">
      <w:r>
        <w:lastRenderedPageBreak/>
        <w:br/>
        <w:t>γ) Συναλλαγών που αφορούν σε πώληση ηλεκτρικού ρεύματος (μόνο Δ.Ε.Η.) και ύδατος μη ιαματικού (Ε.Υ.Δ.Α.Π., δημοτικές επιχειρήσεις κλπ),</w:t>
      </w:r>
    </w:p>
    <w:p w:rsidR="00FB219C" w:rsidRDefault="00FB219C">
      <w:r>
        <w:br/>
        <w:t>δ) Συναλλαγών με τα πιστωτικά ιδρύματα,</w:t>
      </w:r>
    </w:p>
    <w:p w:rsidR="00FB219C" w:rsidRDefault="00FB219C">
      <w:r>
        <w:br/>
        <w:t>ε) Παραστατικών καταβολής εισφορών σε ασφαλιστικά ταμεία, όπως αυτά που εκδίδονται από τον ΕΦΚΑ και</w:t>
      </w:r>
    </w:p>
    <w:p w:rsidR="00FB219C" w:rsidRDefault="00FB219C">
      <w:r>
        <w:br/>
        <w:t>στ) Μη τήρησης της υποχρέωσης διαβίβασης των οριζόμενων δεδομένων από τον εκδότη.</w:t>
      </w:r>
    </w:p>
    <w:p w:rsidR="00FB219C" w:rsidRDefault="00FB219C"/>
    <w:p w:rsidR="00FB219C" w:rsidRDefault="00FB219C">
      <w:r>
        <w:rPr>
          <w:b/>
          <w:bCs/>
        </w:rPr>
        <w:t>3. Τρόπος διαβίβασης των δεδομένων</w:t>
      </w:r>
    </w:p>
    <w:p w:rsidR="00FB219C" w:rsidRDefault="00FB219C"/>
    <w:p w:rsidR="00FB219C" w:rsidRDefault="00FB219C">
      <w:r>
        <w:t>Η διαβίβαση των δεδομένων πραγματοποιείται από τους υποχρέους ηλεκτρονικά στην Α.Α.Δ.Ε. μέσω:</w:t>
      </w:r>
    </w:p>
    <w:p w:rsidR="00FB219C" w:rsidRDefault="00FB219C">
      <w:r>
        <w:rPr>
          <w:b/>
        </w:rPr>
        <w:br/>
      </w:r>
      <w:r>
        <w:t>α) των Παρόχων Υπηρεσιών Ηλεκτρονικής Τιμολόγησης. Ειδικά για τα δεδομένα τιμολογίων, οι υπόχρεοι που χρησιμοποιούν τον τρόπο αυτό δεν επιτρέπεται να διαβιβάζουν δεδομένα των παραστατικών αυτών με κάποιον από τους λοιπούς τρόπους.</w:t>
      </w:r>
    </w:p>
    <w:p w:rsidR="00FB219C" w:rsidRDefault="00FB219C">
      <w:r>
        <w:br/>
        <w:t>β) των προγραμμάτων διαχείρισης επιχειρήσεων (εμπορικό/λογιστικό, ERP), που χρησιμοποιούν οι υπόχρεοι και διασυνδέονται με την Α.Α.Δ.Ε. μέσω σχετικής διεπαφής.</w:t>
      </w:r>
    </w:p>
    <w:p w:rsidR="00FB219C" w:rsidRDefault="00FB219C">
      <w:r>
        <w:br/>
        <w:t>γ) ειδικής φόρμας καταχώρησης της εφαρμογής των ηλεκτρονικών βιβλίων που είναι προσβάσιμη μέσω του διαδικτυακού τόπου της Α.Α.Δ.Ε., αποκλειστικά για τους υποχρέους που (διαζευκτικά):</w:t>
      </w:r>
    </w:p>
    <w:p w:rsidR="00FB219C" w:rsidRDefault="00FB219C">
      <w:r>
        <w:t>γα) τηρούν απλογραφικό λογιστικό σύστημα και τα ετήσια ακαθάριστα έσοδά τους δεν υπερβαίνουν το ύψος των 50.000 ευρώ ή</w:t>
      </w:r>
    </w:p>
    <w:p w:rsidR="00FB219C" w:rsidRDefault="00FB219C">
      <w:r>
        <w:t xml:space="preserve">γβ) εκδίδουν έως και πενήντα (50) τιμολόγια πώλησης ετησίως, ανεξαρτήτως τηρούμενου λογιστικού συστήματος (απλογραφικού ή διπλογραφικού), </w:t>
      </w:r>
    </w:p>
    <w:p w:rsidR="00FB219C" w:rsidRDefault="00FB219C"/>
    <w:p w:rsidR="00FB219C" w:rsidRDefault="00FB219C">
      <w:r>
        <w:t xml:space="preserve">δ) των Φορολογικών Ηλεκτρονικών Μηχανισμών (Φ.Η.Μ.) για τις λιανικές συναλλαγές των υποχρέων χρήσης Φ.Η.Μ. </w:t>
      </w:r>
    </w:p>
    <w:p w:rsidR="00FB219C" w:rsidRDefault="00FB219C"/>
    <w:p w:rsidR="00FB219C" w:rsidRDefault="00FB219C">
      <w:r>
        <w:rPr>
          <w:b/>
          <w:bCs/>
        </w:rPr>
        <w:t>4. Χρόνος διαβίβασης των δεδομένων</w:t>
      </w:r>
    </w:p>
    <w:p w:rsidR="00FB219C" w:rsidRDefault="00FB219C"/>
    <w:p w:rsidR="00FB219C" w:rsidRDefault="00FB219C">
      <w:r>
        <w:t>Τα δεδομένα των εκδιδόμενων λογιστικών στοιχείων, ανεξαρτήτως της υποχρέωσης ή μη υποβολής δήλωσης Φ.Π.Α. από την οντότητα και του λογιστικού συστήματος (απλογραφικού-διπλογραφικού) που αυτή τηρεί, διαβιβάζονται στην Α.Α.Δ.Ε. ως ακολούθως:</w:t>
      </w:r>
    </w:p>
    <w:p w:rsidR="00FB219C" w:rsidRDefault="00FB219C">
      <w:r>
        <w:br/>
        <w:t>α) Σε πραγματικό χρόνο, εφόσον τα οριζόμενα δεδομένα διαβιβάζονται μέσω Παρόχων Υπηρεσιών Ηλεκτρονικής Τιμολόγησης.</w:t>
      </w:r>
    </w:p>
    <w:p w:rsidR="00FB219C" w:rsidRDefault="00FB219C">
      <w:r>
        <w:br/>
        <w:t>β) Σε πραγματικό χρόνο για τις οντότητες που διαβιβάζουν τα οριζόμενα δεδομένα μέσω των προγραμμάτων διαχείρισης επιχειρήσεων (εμπορικό /λογιστικό, ERP) που διασυνδέονται με την Α.Α.Δ.Ε. μέσω σχετικής διεπαφής.</w:t>
      </w:r>
    </w:p>
    <w:p w:rsidR="00FB219C" w:rsidRDefault="00FB219C">
      <w:r>
        <w:lastRenderedPageBreak/>
        <w:br/>
        <w:t>γ) Μέχρι την εικοστή (20η) ημέρα του επόμενου μήνα εντός του οποίου εκδόθηκαν για τους υποχρέους που διαβιβάζουν τα δεδομένα μέσω της ειδικής φόρμας καταχώρησης της εφαρμογής των ηλεκτρονικών βιβλίων που είναι προσβάσιμη μέσω του διαδικτυακού τόπου της Α.Α.Δ.Ε., δηλαδή για εκείνους που τηρούν απλογραφικό λογιστικό σύστημα και τα ετήσια ακαθάριστα έσοδά τους δεν υπερβαίνουν το ύψος των 50.000 ευρώ ή εκδίδουν έως και πενήντα (50) τιμολόγια πώλησης ετησίως, ανεξαρτήτως τηρούμενου λογιστικού συστήματος (απλογραφικού ή διπλογραφικού). Η ίδια προθεσμία ισχύει και στην περίπτωση της αυτοτιμολόγησης και της ανάθεσης τιμολόγησης.</w:t>
      </w:r>
    </w:p>
    <w:p w:rsidR="00FB219C" w:rsidRDefault="00FB219C">
      <w:r>
        <w:br/>
        <w:t xml:space="preserve">Όσον αφορά τα στοιχεία που διαβιβάζονται από τον λήπτη των αγαθών ή των υπηρεσιών, η διαβίβαση πραγματοποιείται έως την ημερομηνία υποβολής της οικείας δήλωσης Φ.Π.Α., ανάλογα με το λογιστικό σύστημα που τηρεί ο λήπτης (απλογραφικό-διπλογραφικό). </w:t>
      </w:r>
      <w:r>
        <w:br/>
      </w:r>
      <w:r>
        <w:br/>
        <w:t>Οι εγγραφές τακτοποίησης εσόδων/εξόδων διαβιβάζονται έως την υποβολή της δήλωσης φορολογίας εισοδήματος, με εξαίρεση τις εγγραφές μισθοδοσίας, τα δεδομένα των οποίων διαβιβάζονται έως την υποβολή της δήλωσης για την απόδοση του σχετικού παρακρατούμενου φόρου.</w:t>
      </w:r>
    </w:p>
    <w:p w:rsidR="00FB219C" w:rsidRDefault="00FB219C">
      <w:pPr>
        <w:rPr>
          <w:b/>
          <w:bCs/>
        </w:rPr>
      </w:pPr>
    </w:p>
    <w:p w:rsidR="00FB219C" w:rsidRDefault="00FB219C">
      <w:r>
        <w:rPr>
          <w:b/>
          <w:bCs/>
        </w:rPr>
        <w:t>5. Ποιός διαβιβάζει τα δεδομένα</w:t>
      </w:r>
    </w:p>
    <w:p w:rsidR="00FB219C" w:rsidRDefault="00FB219C"/>
    <w:p w:rsidR="00FB219C" w:rsidRDefault="00FB219C">
      <w:r>
        <w:t>Τα οριζόμενα δεδομένα διαβιβάζονται, κατά περίπτωση, είτε:</w:t>
      </w:r>
    </w:p>
    <w:p w:rsidR="00FB219C" w:rsidRDefault="00FB219C">
      <w:r>
        <w:br/>
        <w:t>α) Από την ίδια την οντότητα ή εξουσιοδοτημένο λογιστή,</w:t>
      </w:r>
    </w:p>
    <w:p w:rsidR="00FB219C" w:rsidRDefault="00FB219C">
      <w:r>
        <w:br/>
        <w:t>β) Από το λήπτη, κατά τη διαδικασία της αυτοτιμολόγησης και των περιπτώσεων των δεδομένων που η διαβίβαση γίνεται από τον λήπτη των αγαθών ή των υπηρεσιών</w:t>
      </w:r>
    </w:p>
    <w:p w:rsidR="00FB219C" w:rsidRDefault="00FB219C">
      <w:r>
        <w:br/>
        <w:t>γ) Από τον Πάροχο Υπηρεσιών Ηλεκτρονικής Τιμολόγησης και</w:t>
      </w:r>
    </w:p>
    <w:p w:rsidR="00FB219C" w:rsidRDefault="00FB219C">
      <w:r>
        <w:br/>
        <w:t>δ) Από τον τρίτο, στην περίπτωση ανάθεσης τιμολόγησης.</w:t>
      </w:r>
    </w:p>
    <w:p w:rsidR="00FB219C" w:rsidRDefault="00FB219C"/>
    <w:p w:rsidR="00FB219C" w:rsidRDefault="00FB219C">
      <w:r>
        <w:rPr>
          <w:b/>
          <w:bCs/>
        </w:rPr>
        <w:t>6. Ηλεκτρονική τιμολόγηση</w:t>
      </w:r>
    </w:p>
    <w:p w:rsidR="00FB219C" w:rsidRDefault="00FB219C"/>
    <w:p w:rsidR="00FB219C" w:rsidRDefault="00FB219C">
      <w:r>
        <w:t>Πάροχος Υπηρεσιών Ηλεκτρονικής Τιμολόγησης είναι η οντότητα η οποία κατόπιν εντολής άλλης οντότητας (υπόχρεη οντότητα) διαβιβάζει με τη χρήση ηλεκτρονικών μέσων και σύμφωνα με τις διατάξεις της εκάστοτε ισχύουσας νομοθεσίας, παραστατικά πωλήσεων για λογαριασμό της υπόχρεης οντότητας. Αφορά τόσο τιμολόγια όσο και στοιχεία λιανικής πώλησης (αγαθών και υπηρεσιών).</w:t>
      </w:r>
    </w:p>
    <w:p w:rsidR="00FB219C" w:rsidRDefault="00FB219C"/>
    <w:p w:rsidR="00FB219C" w:rsidRDefault="00FB219C">
      <w:r>
        <w:t>Μέχρι στιγμής έχουν πιστοποιηθεί από την ΑΑΔΕ 4 πάροχοι  ηλεκτρονικής τιμολόγησης (</w:t>
      </w:r>
      <w:hyperlink r:id="rId7" w:history="1">
        <w:r>
          <w:rPr>
            <w:rStyle w:val="-"/>
          </w:rPr>
          <w:t>https://www.aade.gr/epiheiriseis/mydata-ilektronika-biblia/adeiodotimena-logismika-parohon-ilektronikis-timologisis</w:t>
        </w:r>
      </w:hyperlink>
      <w:r>
        <w:t>).</w:t>
      </w:r>
    </w:p>
    <w:p w:rsidR="00FB219C" w:rsidRDefault="00FB219C"/>
    <w:p w:rsidR="00FB219C" w:rsidRDefault="00FB219C">
      <w:r>
        <w:t>Η Ηλεκτρονική Τιμολόγηση δεν είναι υποχρεωτική για τις επιχειρήσεις (εκτός από την περίπτωση των δημοσίων συμβάσεων), ούτε είναι απαραίτητη για την εφαρμογή της Πλατφόρμας MyData.</w:t>
      </w:r>
    </w:p>
    <w:p w:rsidR="00FB219C" w:rsidRDefault="00FB219C"/>
    <w:p w:rsidR="00FB219C" w:rsidRDefault="00FB219C">
      <w:r>
        <w:t>Ωστόσο, παρέχονται τα ακόλουθα φορολογικά κίνητρα για την εφαρμογή της ηλεκτρονικής τιμολόγησης (άρθρο 71ΣΤ Ν. 4174/2013):</w:t>
      </w:r>
    </w:p>
    <w:p w:rsidR="00FB219C" w:rsidRDefault="00FB219C">
      <w:r>
        <w:t>α) Η φορολογική παραγραφή μειώνεται από τα 5 στα 3 έτη</w:t>
      </w:r>
    </w:p>
    <w:p w:rsidR="00FB219C" w:rsidRDefault="00FB219C">
      <w:r>
        <w:t xml:space="preserve">β) Η δαπάνη για την αρχική προμήθεια τεχνικού εξοπλισμού και λογισμικού που απαιτείται για την ηλεκτρονική τιμολόγηση αποσβένεται πληρως στο έτος πραγματοποίησής της. </w:t>
      </w:r>
    </w:p>
    <w:p w:rsidR="00FB219C" w:rsidRDefault="00FB219C">
      <w:r>
        <w:t xml:space="preserve">γ) η δαπάνη για την παραγωγή, διαβίβαση και ηλεκτρονική αρχειοθέτηση ηλεκτρονικών τιμολογίων για το πρώτο έτος προσαυγάνεται κατά 100%, δηλαδή εκπίπτει στο διπλάσιο. </w:t>
      </w:r>
    </w:p>
    <w:p w:rsidR="00FB219C" w:rsidRDefault="00FB219C">
      <w:r>
        <w:t>δ) Επιταχύνεται η διαδικασία επιστροφής φόρων</w:t>
      </w:r>
    </w:p>
    <w:p w:rsidR="00FB219C" w:rsidRDefault="00FB219C"/>
    <w:p w:rsidR="00FB219C" w:rsidRDefault="00FB219C">
      <w:r>
        <w:rPr>
          <w:b/>
          <w:bCs/>
        </w:rPr>
        <w:t>7. Χρονοδιάγραμμα έναρξης παραγωγικής λειτουργίας της Πλατφόρμας MyData</w:t>
      </w:r>
    </w:p>
    <w:p w:rsidR="00FB219C" w:rsidRDefault="00FB219C">
      <w:r>
        <w:rPr>
          <w:b/>
          <w:bCs/>
        </w:rPr>
        <w:br/>
      </w:r>
      <w:r>
        <w:t xml:space="preserve">α) Από την 20/07/2020 διαβιβάζονται υποχρεωτικά στην ψηφιακή πλατφόρμα myData τα δεδομένα της σύνοψης εσόδων καθώς και τα δεδομένα της σύνοψης εξόδων σε περίπτωση αυτοτιμολόγησης, των λογιστικών στοιχείων που εκδίδονται από την ημερομηνία αυτή και μετά μέσω Παρόχων Υπηρεσιών Ηλεκτρονικής Έκδοσης Στοιχείων. </w:t>
      </w:r>
    </w:p>
    <w:p w:rsidR="00FB219C" w:rsidRDefault="00FB219C">
      <w:r>
        <w:br/>
        <w:t>β) Από την 01/10/2020 διαβιβάζονται υποχρεωτικά στην ψηφιακή πλατφόρμα myData τα δεδομένα της σύνοψης και ο χαρακτηρισμός εσόδων και εξόδων των λογιστικών στοιχείων που εκδίδονται από την ημερομηνία αυτή και μετά, με τους λοιπούς τρόπους διαβίβασης πέραν των Παρόχων Υπηρεσιών Ηλεκτρονικής Έκδοσης Στοιχείων.</w:t>
      </w:r>
    </w:p>
    <w:p w:rsidR="00FB219C" w:rsidRDefault="00FB219C">
      <w:r>
        <w:br/>
        <w:t xml:space="preserve">γ) Έως την 31/12/2020 διαβιβάζονται στην Α.Α.Δ.Ε., τα δεδομένα της σύνοψης και οι χαρακτηρισμοί εσόδων, καθώς και τα δεδομένα της σύνοψης και ο χαρακτηρισμός εξόδων σε περίπτωση αυτοτιμολόγησης, που αφορούν σε λογιστικά στοιχεία που έχουν εκδοθεί από την 01/01/2020 έως και την 30/09/2020, έκτος από τα δεδομένα που οι οντότητες διαβίβασαν προγενέστερα σύμφωνα με την περίπτωση α΄ ανωτέρω. </w:t>
      </w:r>
    </w:p>
    <w:p w:rsidR="00FB219C" w:rsidRDefault="00FB219C"/>
    <w:p w:rsidR="00FB219C" w:rsidRDefault="00FB219C">
      <w:r>
        <w:t>Ειδικά στην περίπτωση μη τήρησης της υποχρέωσης διαβίβασης δεδομένων από τον Εκδότη των παραπάνω περιπτώσεων που διενεργείται έως 31/12/2020, αυτά διαβιβάζονται από το Λήπτη από 01/01/2021 έως και 28/02/2021. Ο Εκδότης δύναται να αποδεχθεί και να χαρακτηρίσει τις εν λόγω συναλλαγές έως 31/03/2021.</w:t>
      </w:r>
    </w:p>
    <w:p w:rsidR="00FB219C" w:rsidRDefault="00FB219C">
      <w:r>
        <w:br/>
        <w:t>δ) Έως την 28/02/2021 διαβιβάζονται στην Α.Α.Δ.Ε., τα δεδομένα της σύνοψης και οι χαρακτηρισμοί εξόδων, καθώς και οι χαρακτηρισμοί εσόδων σε περίπτωση αυτοτιμολόγησης, που αφορούν σε λογιστικά στοιχεία που έχουν εκδοθεί από την 01/01/2020 έως και την 30/09/2020, έκτος από τα δεδομένα που οι οντότητες διαβίβασαν προγενέστερα μέσω Παρόχων Υπηρεσιών Ηλεκτρονικής Έκδοσης Στοιχείων.</w:t>
      </w:r>
    </w:p>
    <w:p w:rsidR="00FB219C" w:rsidRDefault="00FB219C">
      <w:r>
        <w:br/>
        <w:t>ε) Ειδικά για τις εγγραφές μισθοδοσίας η διαβίβαση των δεδομένων για το χρονικό διάστημα από 01/01/2020 έως 30/09/2020 διενεργείται έως την 31/12/2020.</w:t>
      </w:r>
    </w:p>
    <w:p w:rsidR="00FB219C" w:rsidRDefault="00FB219C"/>
    <w:p w:rsidR="00FB219C" w:rsidRDefault="00FB219C">
      <w:r>
        <w:t xml:space="preserve">Τέλος, σημειώνεται ότι η λειτουργία της Πλατφόρμας MyData σε μεγάλο βαθμό γίνεται πιλοτικά. Αυτό σημαίνει ότι αναμένονται τεχνικά προβλήματα και καθυστερήσεις, με συνέπεια να μην αποκλείονται παρατάσεις στις παραπάνω ημερομηνίες. </w:t>
      </w:r>
    </w:p>
    <w:sectPr w:rsidR="00FB219C">
      <w:footerReference w:type="default" r:id="rId8"/>
      <w:footerReference w:type="first" r:id="rId9"/>
      <w:pgSz w:w="11906" w:h="16838"/>
      <w:pgMar w:top="1440" w:right="1440" w:bottom="1449" w:left="1440" w:header="720" w:footer="873"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492" w:rsidRDefault="00006492">
      <w:r>
        <w:separator/>
      </w:r>
    </w:p>
  </w:endnote>
  <w:endnote w:type="continuationSeparator" w:id="0">
    <w:p w:rsidR="00006492" w:rsidRDefault="000064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FreeSans">
    <w:altName w:val="Times New Roman"/>
    <w:charset w:val="01"/>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9C" w:rsidRDefault="00FB219C">
    <w:pPr>
      <w:pStyle w:val="a6"/>
      <w:jc w:val="right"/>
    </w:pPr>
    <w:fldSimple w:instr=" PAGE ">
      <w:r w:rsidR="0036041F">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9C" w:rsidRDefault="00FB219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492" w:rsidRDefault="00006492">
      <w:r>
        <w:separator/>
      </w:r>
    </w:p>
  </w:footnote>
  <w:footnote w:type="continuationSeparator" w:id="0">
    <w:p w:rsidR="00006492" w:rsidRDefault="000064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8D1466"/>
    <w:rsid w:val="00006492"/>
    <w:rsid w:val="000F404D"/>
    <w:rsid w:val="0019498E"/>
    <w:rsid w:val="0036041F"/>
    <w:rsid w:val="004843B5"/>
    <w:rsid w:val="008D1466"/>
    <w:rsid w:val="00AF57F1"/>
    <w:rsid w:val="00FB219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jc w:val="both"/>
    </w:pPr>
    <w:rPr>
      <w:rFonts w:ascii="Calibri" w:eastAsia="Tahoma" w:hAnsi="Calibri" w:cs="FreeSans"/>
      <w:kern w:val="2"/>
      <w:sz w:val="24"/>
      <w:szCs w:val="24"/>
      <w:lang w:eastAsia="zh-CN" w:bidi="hi-IN"/>
    </w:rPr>
  </w:style>
  <w:style w:type="paragraph" w:styleId="1">
    <w:name w:val="heading 1"/>
    <w:basedOn w:val="Heading"/>
    <w:next w:val="a0"/>
    <w:qFormat/>
    <w:pPr>
      <w:numPr>
        <w:numId w:val="1"/>
      </w:numPr>
      <w:outlineLvl w:val="0"/>
    </w:pPr>
    <w:rPr>
      <w:b/>
      <w:bCs/>
      <w:sz w:val="36"/>
      <w:szCs w:val="36"/>
    </w:rPr>
  </w:style>
  <w:style w:type="paragraph" w:styleId="2">
    <w:name w:val="heading 2"/>
    <w:basedOn w:val="Heading"/>
    <w:next w:val="a0"/>
    <w:qFormat/>
    <w:pPr>
      <w:numPr>
        <w:ilvl w:val="1"/>
        <w:numId w:val="1"/>
      </w:numPr>
      <w:spacing w:before="200"/>
      <w:outlineLvl w:val="1"/>
    </w:pPr>
    <w:rPr>
      <w:b/>
      <w:bCs/>
      <w:sz w:val="32"/>
      <w:szCs w:val="32"/>
    </w:rPr>
  </w:style>
  <w:style w:type="paragraph" w:styleId="3">
    <w:name w:val="heading 3"/>
    <w:basedOn w:val="Heading"/>
    <w:next w:val="a0"/>
    <w:qFormat/>
    <w:pPr>
      <w:numPr>
        <w:ilvl w:val="2"/>
        <w:numId w:val="1"/>
      </w:numPr>
      <w:spacing w:before="140"/>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rPr>
      <w:color w:val="000080"/>
      <w:u w:val="single"/>
      <w:lang/>
    </w:rPr>
  </w:style>
  <w:style w:type="character" w:styleId="-0">
    <w:name w:val="FollowedHyperlink"/>
    <w:rPr>
      <w:color w:val="800000"/>
      <w:u w:val="single"/>
      <w:lang/>
    </w:rPr>
  </w:style>
  <w:style w:type="paragraph" w:customStyle="1" w:styleId="Heading">
    <w:name w:val="Heading"/>
    <w:basedOn w:val="a"/>
    <w:next w:val="a0"/>
    <w:pPr>
      <w:keepNext/>
      <w:spacing w:before="240" w:after="120"/>
    </w:pPr>
    <w:rPr>
      <w:rFonts w:ascii="Liberation Sans" w:hAnsi="Liberation Sans"/>
      <w:sz w:val="28"/>
      <w:szCs w:val="28"/>
    </w:rPr>
  </w:style>
  <w:style w:type="paragraph" w:styleId="a0">
    <w:name w:val="Body Text"/>
    <w:basedOn w:val="a"/>
    <w:pPr>
      <w:spacing w:after="140" w:line="288" w:lineRule="auto"/>
    </w:pPr>
  </w:style>
  <w:style w:type="paragraph" w:styleId="a4">
    <w:name w:val="List"/>
    <w:basedOn w:val="a0"/>
  </w:style>
  <w:style w:type="paragraph" w:styleId="a5">
    <w:name w:val="caption"/>
    <w:basedOn w:val="a"/>
    <w:qFormat/>
    <w:pPr>
      <w:suppressLineNumbers/>
      <w:spacing w:before="120" w:after="120"/>
    </w:pPr>
    <w:rPr>
      <w:i/>
      <w:iCs/>
    </w:rPr>
  </w:style>
  <w:style w:type="paragraph" w:customStyle="1" w:styleId="Index">
    <w:name w:val="Index"/>
    <w:basedOn w:val="a"/>
    <w:pPr>
      <w:suppressLineNumbers/>
    </w:pPr>
  </w:style>
  <w:style w:type="paragraph" w:customStyle="1" w:styleId="HeaderandFooter">
    <w:name w:val="Header and Footer"/>
    <w:basedOn w:val="a"/>
    <w:pPr>
      <w:suppressLineNumbers/>
      <w:tabs>
        <w:tab w:val="center" w:pos="4819"/>
        <w:tab w:val="right" w:pos="9638"/>
      </w:tabs>
    </w:pPr>
  </w:style>
  <w:style w:type="paragraph" w:styleId="a6">
    <w:name w:val="footer"/>
    <w:basedOn w:val="a"/>
    <w:pPr>
      <w:suppressLineNumbers/>
      <w:tabs>
        <w:tab w:val="center" w:pos="4819"/>
        <w:tab w:val="right" w:pos="9638"/>
      </w:tabs>
    </w:pPr>
  </w:style>
  <w:style w:type="paragraph" w:customStyle="1" w:styleId="Quotations">
    <w:name w:val="Quotations"/>
    <w:basedOn w:val="a"/>
    <w:pPr>
      <w:spacing w:after="283"/>
      <w:ind w:left="567" w:right="567"/>
    </w:pPr>
  </w:style>
  <w:style w:type="paragraph" w:styleId="a7">
    <w:name w:val="Title"/>
    <w:basedOn w:val="Heading"/>
    <w:next w:val="a0"/>
    <w:qFormat/>
    <w:pPr>
      <w:jc w:val="center"/>
    </w:pPr>
    <w:rPr>
      <w:b/>
      <w:bCs/>
      <w:sz w:val="56"/>
      <w:szCs w:val="56"/>
    </w:rPr>
  </w:style>
  <w:style w:type="paragraph" w:styleId="a8">
    <w:name w:val="Subtitle"/>
    <w:basedOn w:val="Heading"/>
    <w:next w:val="a0"/>
    <w:qFormat/>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ade.gr/epiheiriseis/mydata-ilektronika-biblia/adeiodotimena-logismika-parohon-ilektronikis-timologi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1476</Words>
  <Characters>7975</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9433</CharactersWithSpaces>
  <SharedDoc>false</SharedDoc>
  <HLinks>
    <vt:vector size="6" baseType="variant">
      <vt:variant>
        <vt:i4>2949159</vt:i4>
      </vt:variant>
      <vt:variant>
        <vt:i4>0</vt:i4>
      </vt:variant>
      <vt:variant>
        <vt:i4>0</vt:i4>
      </vt:variant>
      <vt:variant>
        <vt:i4>5</vt:i4>
      </vt:variant>
      <vt:variant>
        <vt:lpwstr>https://www.aade.gr/epiheiriseis/mydata-ilektronika-biblia/adeiodotimena-logismika-parohon-ilektronikis-timologisis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Tsourouflis</dc:creator>
  <cp:lastModifiedBy>user</cp:lastModifiedBy>
  <cp:revision>2</cp:revision>
  <cp:lastPrinted>1995-11-21T14:41:00Z</cp:lastPrinted>
  <dcterms:created xsi:type="dcterms:W3CDTF">2020-10-02T08:38:00Z</dcterms:created>
  <dcterms:modified xsi:type="dcterms:W3CDTF">2020-10-02T08:38:00Z</dcterms:modified>
</cp:coreProperties>
</file>